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部门内抽查事项清单</w:t>
      </w:r>
    </w:p>
    <w:tbl>
      <w:tblPr>
        <w:tblW w:w="8940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142"/>
        <w:gridCol w:w="1791"/>
        <w:gridCol w:w="1689"/>
        <w:gridCol w:w="1690"/>
      </w:tblGrid>
      <w:tr>
        <w:trPr>
          <w:trHeight w:val="630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抽查领域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抽查事项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任务名称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抽查数量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检查机关</w:t>
            </w:r>
          </w:p>
        </w:tc>
      </w:tr>
      <w:tr>
        <w:trPr>
          <w:trHeight w:val="9764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公共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场所</w:t>
            </w:r>
          </w:p>
        </w:tc>
        <w:tc>
          <w:tcPr>
            <w:tcW w:w="2142" w:type="dxa"/>
            <w:vAlign w:val="center"/>
          </w:tcPr>
          <w:p>
            <w:pPr>
              <w:pStyle w:val="4"/>
              <w:widowControl/>
              <w:numPr>
                <w:numId w:val="0"/>
              </w:numPr>
              <w:wordWrap/>
              <w:adjustRightInd/>
              <w:snapToGrid/>
              <w:spacing w:before="0" w:beforeAutospacing="0" w:after="0" w:afterAutospacing="0" w:line="640" w:lineRule="exact"/>
              <w:ind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传染病卫生应急预案制定，防疫物资储备，临时隔离留观室设置，查验“两码”及体温监测情况，从业人员健康证明的取得，公共用品用具的清洁消毒，经营场所通风换气和消毒，集中空调的运行清洗和消毒。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对公共场所的双随机监督检查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5个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锡林郭勒盟卫生健康委员会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paragraph" w:styleId="2">
    <w:name w:val="Body Text Indent"/>
    <w:basedOn w:val="1"/>
    <w:qFormat/>
    <w:uiPriority w:val="0"/>
    <w:pPr>
      <w:spacing w:line="520" w:lineRule="exact"/>
      <w:ind w:firstLine="600" w:firstLineChars="200"/>
      <w:jc w:val="left"/>
    </w:pPr>
    <w:rPr>
      <w:kern w:val="0"/>
      <w:sz w:val="32"/>
      <w:szCs w:val="20"/>
    </w:r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2022-09-21T08:25:00Z</dcterms:created>
  <dc:creator>Administrator</dc:creator>
  <cp:lastModifiedBy>pc</cp:lastModifiedBy>
  <dcterms:modified xsi:type="dcterms:W3CDTF">2022-09-21T08:36:37Z</dcterms:modified>
  <dc:title>部门内抽查事项清单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5F8C781392B341F594EEB4E434BFE2DB</vt:lpwstr>
  </property>
</Properties>
</file>